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1" w:rsidRPr="00101837" w:rsidRDefault="008B24AC" w:rsidP="00101837">
      <w:pPr>
        <w:pStyle w:val="Geenafstand"/>
        <w:rPr>
          <w:b/>
          <w:u w:val="single"/>
        </w:rPr>
      </w:pPr>
      <w:bookmarkStart w:id="0" w:name="_GoBack"/>
      <w:bookmarkEnd w:id="0"/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>financiële gegevens 201</w:t>
      </w:r>
      <w:r w:rsidR="00A13285">
        <w:rPr>
          <w:b/>
          <w:u w:val="single"/>
        </w:rPr>
        <w:t>5</w:t>
      </w:r>
    </w:p>
    <w:p w:rsidR="00101837" w:rsidRDefault="00101837" w:rsidP="00101837">
      <w:pPr>
        <w:pStyle w:val="Geenafstand"/>
      </w:pPr>
    </w:p>
    <w:p w:rsidR="00101837" w:rsidRPr="00DA16F1" w:rsidRDefault="00101837" w:rsidP="00DA16F1">
      <w:pPr>
        <w:pStyle w:val="Geenafstand"/>
        <w:rPr>
          <w:b/>
          <w:i/>
        </w:rPr>
      </w:pPr>
      <w:r w:rsidRPr="00DA16F1">
        <w:rPr>
          <w:b/>
          <w:i/>
        </w:rPr>
        <w:t>Staat van baten en lasten 201</w:t>
      </w:r>
      <w:r w:rsidR="00A13285">
        <w:rPr>
          <w:b/>
          <w:i/>
        </w:rPr>
        <w:t>5</w:t>
      </w:r>
    </w:p>
    <w:p w:rsidR="00101837" w:rsidRDefault="00101837" w:rsidP="00101837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A13285" w:rsidP="00A13285">
            <w:pPr>
              <w:pStyle w:val="Geenafstand"/>
              <w:jc w:val="right"/>
            </w:pPr>
            <w:r>
              <w:t>9</w:t>
            </w:r>
            <w:r w:rsidR="00763F56">
              <w:t>.</w:t>
            </w:r>
            <w:r>
              <w:t>738</w:t>
            </w: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A13285" w:rsidP="00A83777">
            <w:pPr>
              <w:pStyle w:val="Geenafstand"/>
              <w:numPr>
                <w:ilvl w:val="0"/>
                <w:numId w:val="4"/>
              </w:numPr>
            </w:pPr>
            <w:r>
              <w:t>sponsoring en kosten prijzen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13285" w:rsidP="00A13285">
            <w:pPr>
              <w:pStyle w:val="Geenafstand"/>
              <w:jc w:val="right"/>
            </w:pPr>
            <w:r>
              <w:t>2</w:t>
            </w:r>
            <w:r w:rsidR="00763F56">
              <w:t>.</w:t>
            </w:r>
            <w:r>
              <w:t>447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EF6DB4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A13285" w:rsidP="00A13285">
            <w:pPr>
              <w:pStyle w:val="Geenafstand"/>
              <w:jc w:val="right"/>
            </w:pPr>
            <w:r>
              <w:t>5</w:t>
            </w:r>
            <w:r w:rsidR="0008249E">
              <w:t>.</w:t>
            </w:r>
            <w:r>
              <w:t>1</w:t>
            </w:r>
            <w:r w:rsidR="00763F56">
              <w:t>9</w:t>
            </w:r>
            <w:r>
              <w:t>2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763F56" w:rsidP="00A13285">
            <w:pPr>
              <w:pStyle w:val="Geenafstand"/>
              <w:jc w:val="right"/>
            </w:pPr>
            <w:r>
              <w:t>1</w:t>
            </w:r>
            <w:r w:rsidR="00A13285">
              <w:t>0</w:t>
            </w:r>
            <w:r w:rsidR="0008249E">
              <w:t>.</w:t>
            </w:r>
            <w:r w:rsidR="00A13285">
              <w:t>039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FD304A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13285" w:rsidP="00A13285">
            <w:pPr>
              <w:pStyle w:val="Geenafstand"/>
              <w:jc w:val="right"/>
            </w:pPr>
            <w:r>
              <w:t>2</w:t>
            </w:r>
            <w:r w:rsidR="00FD304A">
              <w:t>.</w:t>
            </w:r>
            <w:r>
              <w:t>000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FD304A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A13285" w:rsidP="003A33EC">
            <w:pPr>
              <w:pStyle w:val="Geenafstand"/>
              <w:jc w:val="right"/>
            </w:pPr>
            <w:r>
              <w:t>950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FD304A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A13285" w:rsidP="00A13285">
            <w:pPr>
              <w:pStyle w:val="Geenafstand"/>
              <w:jc w:val="right"/>
            </w:pPr>
            <w:r>
              <w:t>2</w:t>
            </w:r>
            <w:r w:rsidR="00FD304A" w:rsidRPr="00FD304A">
              <w:t>.</w:t>
            </w:r>
            <w:r>
              <w:t>950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EF6DB4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A13285" w:rsidP="00A13285">
            <w:pPr>
              <w:pStyle w:val="Geenafstand"/>
              <w:jc w:val="right"/>
            </w:pPr>
            <w:r>
              <w:t>2</w:t>
            </w:r>
            <w:r w:rsidR="00763F56">
              <w:t>.</w:t>
            </w:r>
            <w:r>
              <w:t>506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A13285" w:rsidP="00A13285">
            <w:pPr>
              <w:pStyle w:val="Geenafstand"/>
              <w:jc w:val="right"/>
            </w:pPr>
            <w:r>
              <w:t>15</w:t>
            </w:r>
            <w:r w:rsidR="00763F56">
              <w:t>.</w:t>
            </w:r>
            <w:r>
              <w:t>495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A13285">
            <w:pPr>
              <w:pStyle w:val="Geenafstand"/>
            </w:pPr>
            <w:r>
              <w:t>Resultaat 201</w:t>
            </w:r>
            <w:r w:rsidR="00A13285">
              <w:t>5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EF6DB4" w:rsidP="00A1328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A13285">
              <w:rPr>
                <w:b/>
              </w:rPr>
              <w:t>5</w:t>
            </w:r>
            <w:r>
              <w:rPr>
                <w:b/>
              </w:rPr>
              <w:t>.</w:t>
            </w:r>
            <w:r w:rsidR="00A13285">
              <w:rPr>
                <w:b/>
              </w:rPr>
              <w:t>757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</w:tbl>
    <w:p w:rsidR="00101837" w:rsidRDefault="00101837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 xml:space="preserve">Overzicht van </w:t>
      </w:r>
      <w:r w:rsidR="00A13285">
        <w:rPr>
          <w:b/>
          <w:i/>
        </w:rPr>
        <w:t xml:space="preserve">de </w:t>
      </w:r>
      <w:r w:rsidRPr="00DA16F1">
        <w:rPr>
          <w:b/>
          <w:i/>
        </w:rPr>
        <w:t>voorgenomen bestedingen in 201</w:t>
      </w:r>
      <w:r w:rsidR="00A13285">
        <w:rPr>
          <w:b/>
          <w:i/>
        </w:rPr>
        <w:t>6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DA16F1" w:rsidP="00A13285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</w:t>
            </w:r>
            <w:r w:rsidR="00A13285">
              <w:t>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763F56" w:rsidP="00763F56">
            <w:pPr>
              <w:pStyle w:val="Geenafstand"/>
              <w:jc w:val="right"/>
            </w:pPr>
            <w:r>
              <w:t>5</w:t>
            </w:r>
            <w:r w:rsidR="00DA16F1">
              <w:t>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A13285" w:rsidTr="00A13285">
        <w:tc>
          <w:tcPr>
            <w:tcW w:w="6062" w:type="dxa"/>
          </w:tcPr>
          <w:p w:rsidR="00A13285" w:rsidRDefault="00A13285" w:rsidP="00193CA0">
            <w:pPr>
              <w:pStyle w:val="Geenafstand"/>
              <w:numPr>
                <w:ilvl w:val="0"/>
                <w:numId w:val="8"/>
              </w:numPr>
            </w:pPr>
            <w:r>
              <w:t xml:space="preserve">prijzen uit te reiken tijdens het </w:t>
            </w:r>
            <w:proofErr w:type="spellStart"/>
            <w:r>
              <w:t>Gynaecongres</w:t>
            </w:r>
            <w:proofErr w:type="spellEnd"/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A13285" w:rsidRDefault="00A13285" w:rsidP="00DA16F1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74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A13285" w:rsidP="00193CA0">
            <w:pPr>
              <w:pStyle w:val="Geenafstand"/>
              <w:numPr>
                <w:ilvl w:val="0"/>
                <w:numId w:val="8"/>
              </w:numPr>
            </w:pPr>
            <w:r>
              <w:t>sponsoring lezingen; prijzen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A13285" w:rsidP="00DA16F1">
            <w:pPr>
              <w:pStyle w:val="Geenafstand"/>
              <w:jc w:val="right"/>
            </w:pPr>
            <w:r>
              <w:t>1.000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A13285" w:rsidP="00EF6DB4">
            <w:pPr>
              <w:pStyle w:val="Geenafstand"/>
              <w:jc w:val="right"/>
            </w:pPr>
            <w:r>
              <w:t>8</w:t>
            </w:r>
            <w:r w:rsidR="00EF6DB4">
              <w:t>.400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FD304A" w:rsidP="00D50C85">
            <w:pPr>
              <w:pStyle w:val="Geenafstand"/>
              <w:jc w:val="right"/>
            </w:pPr>
            <w:r>
              <w:t>2.500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A13285">
            <w:pPr>
              <w:pStyle w:val="Geenafstand"/>
            </w:pPr>
            <w:r>
              <w:t>Totaal van de voorgenomen bestedingen in 201</w:t>
            </w:r>
            <w:r w:rsidR="00A13285"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A13285" w:rsidP="00D50C8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D304A">
              <w:rPr>
                <w:b/>
              </w:rPr>
              <w:t>.900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A13285" w:rsidRPr="00101837" w:rsidRDefault="000F0E0E" w:rsidP="00DA16F1">
      <w:pPr>
        <w:pStyle w:val="Geenafstand"/>
      </w:pPr>
      <w:r>
        <w:t xml:space="preserve">Voor de aard van de door de stichting georganiseerde activiteiten wordt verwezen naar het Beleidsplan voor de periode 2013-2017.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 w:rsidR="00A13285">
        <w:t xml:space="preserve">Met ingang van 2016 komen daar het sponsoren van lezingen en het uitreiken van prijzen voor proefschriften bij. Besloten werd met de organisatie van het </w:t>
      </w:r>
      <w:r>
        <w:t xml:space="preserve">tweejaarlijkse </w:t>
      </w:r>
      <w:r w:rsidR="00A13285">
        <w:t>symposium te stoppen</w:t>
      </w:r>
      <w:r w:rsidR="006F7D52">
        <w:t>.</w:t>
      </w:r>
    </w:p>
    <w:sectPr w:rsidR="00A13285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C5DE2"/>
    <w:rsid w:val="000D6FC8"/>
    <w:rsid w:val="000F0E0E"/>
    <w:rsid w:val="00101837"/>
    <w:rsid w:val="0011279D"/>
    <w:rsid w:val="00186D65"/>
    <w:rsid w:val="00193CA0"/>
    <w:rsid w:val="00302282"/>
    <w:rsid w:val="003A33EC"/>
    <w:rsid w:val="003D6F30"/>
    <w:rsid w:val="004C7CF6"/>
    <w:rsid w:val="004E7D61"/>
    <w:rsid w:val="005170EA"/>
    <w:rsid w:val="006F7D52"/>
    <w:rsid w:val="00702478"/>
    <w:rsid w:val="00763F56"/>
    <w:rsid w:val="008B24AC"/>
    <w:rsid w:val="00921B44"/>
    <w:rsid w:val="009D5EDC"/>
    <w:rsid w:val="009F7E62"/>
    <w:rsid w:val="00A13285"/>
    <w:rsid w:val="00A27223"/>
    <w:rsid w:val="00A83777"/>
    <w:rsid w:val="00CB2E3D"/>
    <w:rsid w:val="00CD39DD"/>
    <w:rsid w:val="00CE2FB5"/>
    <w:rsid w:val="00D50C85"/>
    <w:rsid w:val="00D703E1"/>
    <w:rsid w:val="00DA16F1"/>
    <w:rsid w:val="00EF6DB4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joostsmeets</dc:creator>
  <cp:lastModifiedBy>Carl</cp:lastModifiedBy>
  <cp:revision>2</cp:revision>
  <cp:lastPrinted>2013-11-04T15:59:00Z</cp:lastPrinted>
  <dcterms:created xsi:type="dcterms:W3CDTF">2016-07-31T07:48:00Z</dcterms:created>
  <dcterms:modified xsi:type="dcterms:W3CDTF">2016-07-31T07:48:00Z</dcterms:modified>
</cp:coreProperties>
</file>